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1A3" w:rsidRDefault="000B35EA" w:rsidP="000B35EA">
      <w:pPr>
        <w:rPr>
          <w:b/>
          <w:sz w:val="28"/>
        </w:rPr>
      </w:pPr>
      <w:r>
        <w:rPr>
          <w:b/>
          <w:noProof/>
        </w:rPr>
        <w:drawing>
          <wp:anchor distT="0" distB="0" distL="114300" distR="114300" simplePos="0" relativeHeight="251659264" behindDoc="0" locked="0" layoutInCell="1" allowOverlap="1" wp14:anchorId="6DBFE9FE" wp14:editId="7680B2B3">
            <wp:simplePos x="0" y="0"/>
            <wp:positionH relativeFrom="column">
              <wp:posOffset>0</wp:posOffset>
            </wp:positionH>
            <wp:positionV relativeFrom="paragraph">
              <wp:posOffset>0</wp:posOffset>
            </wp:positionV>
            <wp:extent cx="2275822" cy="12763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_Personnes_Handicapees_RV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75822" cy="1276350"/>
                    </a:xfrm>
                    <a:prstGeom prst="rect">
                      <a:avLst/>
                    </a:prstGeom>
                  </pic:spPr>
                </pic:pic>
              </a:graphicData>
            </a:graphic>
            <wp14:sizeRelH relativeFrom="page">
              <wp14:pctWidth>0</wp14:pctWidth>
            </wp14:sizeRelH>
            <wp14:sizeRelV relativeFrom="page">
              <wp14:pctHeight>0</wp14:pctHeight>
            </wp14:sizeRelV>
          </wp:anchor>
        </w:drawing>
      </w:r>
    </w:p>
    <w:p w:rsidR="000B35EA" w:rsidRDefault="000B35EA" w:rsidP="000A71A3">
      <w:pPr>
        <w:ind w:left="3540" w:firstLine="708"/>
        <w:jc w:val="center"/>
        <w:rPr>
          <w:sz w:val="28"/>
        </w:rPr>
      </w:pPr>
    </w:p>
    <w:p w:rsidR="000B35EA" w:rsidRDefault="000B35EA" w:rsidP="000A71A3">
      <w:pPr>
        <w:ind w:left="3540" w:firstLine="708"/>
        <w:jc w:val="center"/>
        <w:rPr>
          <w:sz w:val="28"/>
        </w:rPr>
      </w:pPr>
    </w:p>
    <w:p w:rsidR="000B35EA" w:rsidRDefault="000B35EA" w:rsidP="000A71A3">
      <w:pPr>
        <w:ind w:left="3540" w:firstLine="708"/>
        <w:jc w:val="center"/>
        <w:rPr>
          <w:sz w:val="28"/>
        </w:rPr>
      </w:pPr>
    </w:p>
    <w:p w:rsidR="000B35EA" w:rsidRDefault="000B35EA" w:rsidP="000A71A3">
      <w:pPr>
        <w:ind w:left="3540" w:firstLine="708"/>
        <w:jc w:val="center"/>
        <w:rPr>
          <w:sz w:val="28"/>
        </w:rPr>
      </w:pPr>
    </w:p>
    <w:p w:rsidR="000A71A3" w:rsidRPr="000A71A3" w:rsidRDefault="007E7560" w:rsidP="000A71A3">
      <w:pPr>
        <w:ind w:left="3540" w:firstLine="708"/>
        <w:jc w:val="center"/>
        <w:rPr>
          <w:sz w:val="28"/>
        </w:rPr>
      </w:pPr>
      <w:r>
        <w:rPr>
          <w:sz w:val="28"/>
        </w:rPr>
        <w:t>Paris, le 20</w:t>
      </w:r>
      <w:r w:rsidR="000A71A3" w:rsidRPr="000A71A3">
        <w:rPr>
          <w:sz w:val="28"/>
        </w:rPr>
        <w:t xml:space="preserve"> avril 2022 </w:t>
      </w:r>
    </w:p>
    <w:p w:rsidR="000B35EA" w:rsidRDefault="000B35EA" w:rsidP="000B35EA">
      <w:pPr>
        <w:rPr>
          <w:b/>
          <w:sz w:val="28"/>
        </w:rPr>
      </w:pPr>
    </w:p>
    <w:p w:rsidR="000B35EA" w:rsidRDefault="000B35EA" w:rsidP="000B35EA">
      <w:pPr>
        <w:rPr>
          <w:b/>
          <w:sz w:val="28"/>
        </w:rPr>
      </w:pPr>
    </w:p>
    <w:p w:rsidR="000A71A3" w:rsidRDefault="00CF6BBD" w:rsidP="00505E34">
      <w:pPr>
        <w:jc w:val="center"/>
        <w:rPr>
          <w:b/>
          <w:sz w:val="28"/>
        </w:rPr>
      </w:pPr>
      <w:r>
        <w:rPr>
          <w:b/>
          <w:sz w:val="28"/>
        </w:rPr>
        <w:t>C</w:t>
      </w:r>
      <w:r w:rsidR="000A71A3">
        <w:rPr>
          <w:b/>
          <w:sz w:val="28"/>
        </w:rPr>
        <w:t xml:space="preserve">OMMUNIQUE DE </w:t>
      </w:r>
      <w:r>
        <w:rPr>
          <w:b/>
          <w:sz w:val="28"/>
        </w:rPr>
        <w:t>P</w:t>
      </w:r>
      <w:r w:rsidR="000A71A3">
        <w:rPr>
          <w:b/>
          <w:sz w:val="28"/>
        </w:rPr>
        <w:t>RESSE</w:t>
      </w:r>
      <w:r>
        <w:rPr>
          <w:b/>
          <w:sz w:val="28"/>
        </w:rPr>
        <w:t xml:space="preserve"> </w:t>
      </w:r>
    </w:p>
    <w:p w:rsidR="005137E2" w:rsidRPr="00505E34" w:rsidRDefault="002F5E5C" w:rsidP="00505E34">
      <w:pPr>
        <w:jc w:val="center"/>
        <w:rPr>
          <w:b/>
          <w:sz w:val="28"/>
        </w:rPr>
      </w:pPr>
      <w:bookmarkStart w:id="0" w:name="_GoBack"/>
      <w:r w:rsidRPr="007E7560">
        <w:rPr>
          <w:b/>
          <w:color w:val="000000" w:themeColor="text1"/>
          <w:sz w:val="28"/>
        </w:rPr>
        <w:t xml:space="preserve">Création d’un nouveau forfait d’aide humaine pour les personnes sourdaveugles </w:t>
      </w:r>
      <w:r w:rsidR="007E7560" w:rsidRPr="007E7560">
        <w:rPr>
          <w:b/>
          <w:color w:val="000000" w:themeColor="text1"/>
          <w:sz w:val="28"/>
        </w:rPr>
        <w:t>dans</w:t>
      </w:r>
      <w:r w:rsidRPr="007E7560">
        <w:rPr>
          <w:b/>
          <w:color w:val="000000" w:themeColor="text1"/>
          <w:sz w:val="28"/>
        </w:rPr>
        <w:t xml:space="preserve"> le cadre de la</w:t>
      </w:r>
      <w:r w:rsidR="000A71A3" w:rsidRPr="007E7560">
        <w:rPr>
          <w:b/>
          <w:color w:val="000000" w:themeColor="text1"/>
          <w:sz w:val="28"/>
        </w:rPr>
        <w:t xml:space="preserve"> </w:t>
      </w:r>
      <w:r w:rsidR="00CF6BBD" w:rsidRPr="007E7560">
        <w:rPr>
          <w:b/>
          <w:color w:val="000000" w:themeColor="text1"/>
          <w:sz w:val="28"/>
        </w:rPr>
        <w:t>P</w:t>
      </w:r>
      <w:r w:rsidR="000A71A3" w:rsidRPr="007E7560">
        <w:rPr>
          <w:b/>
          <w:color w:val="000000" w:themeColor="text1"/>
          <w:sz w:val="28"/>
        </w:rPr>
        <w:t xml:space="preserve">restation </w:t>
      </w:r>
      <w:r w:rsidRPr="007E7560">
        <w:rPr>
          <w:b/>
          <w:color w:val="000000" w:themeColor="text1"/>
          <w:sz w:val="28"/>
        </w:rPr>
        <w:t>de Compensation</w:t>
      </w:r>
      <w:r w:rsidR="000A71A3" w:rsidRPr="007E7560">
        <w:rPr>
          <w:b/>
          <w:color w:val="000000" w:themeColor="text1"/>
          <w:sz w:val="28"/>
        </w:rPr>
        <w:t xml:space="preserve"> </w:t>
      </w:r>
      <w:r w:rsidR="000A71A3">
        <w:rPr>
          <w:b/>
          <w:sz w:val="28"/>
        </w:rPr>
        <w:t xml:space="preserve">du </w:t>
      </w:r>
      <w:r w:rsidR="00CF6BBD">
        <w:rPr>
          <w:b/>
          <w:sz w:val="28"/>
        </w:rPr>
        <w:t>H</w:t>
      </w:r>
      <w:r w:rsidR="000A71A3">
        <w:rPr>
          <w:b/>
          <w:sz w:val="28"/>
        </w:rPr>
        <w:t xml:space="preserve">andicap (PCH) </w:t>
      </w:r>
    </w:p>
    <w:bookmarkEnd w:id="0"/>
    <w:p w:rsidR="000A71A3" w:rsidRDefault="000A71A3" w:rsidP="006E2B6C">
      <w:pPr>
        <w:pStyle w:val="Paragraphedeliste"/>
        <w:spacing w:after="0" w:line="240" w:lineRule="auto"/>
        <w:ind w:left="0"/>
        <w:jc w:val="both"/>
        <w:rPr>
          <w:rFonts w:cstheme="minorHAnsi"/>
          <w:sz w:val="28"/>
          <w:szCs w:val="28"/>
        </w:rPr>
      </w:pPr>
    </w:p>
    <w:p w:rsidR="00F37E27" w:rsidRDefault="00F37E27" w:rsidP="006E2B6C">
      <w:pPr>
        <w:pStyle w:val="Paragraphedeliste"/>
        <w:spacing w:after="0" w:line="240" w:lineRule="auto"/>
        <w:ind w:left="0"/>
        <w:jc w:val="both"/>
        <w:rPr>
          <w:rFonts w:cstheme="minorHAnsi"/>
          <w:sz w:val="28"/>
          <w:szCs w:val="28"/>
        </w:rPr>
      </w:pPr>
      <w:r>
        <w:rPr>
          <w:rFonts w:cstheme="minorHAnsi"/>
          <w:sz w:val="28"/>
          <w:szCs w:val="28"/>
        </w:rPr>
        <w:t xml:space="preserve">Lors du sixième Comité interministériel du handicap du 3 février 2022, le gouvernement avait annoncé la reconnaissance de la surdicécité comme handicap spécifique nécessitant l’adaptation des modalités de compensation et de prise en charge. </w:t>
      </w:r>
    </w:p>
    <w:p w:rsidR="00F37E27" w:rsidRDefault="00F37E27" w:rsidP="006E2B6C">
      <w:pPr>
        <w:pStyle w:val="Paragraphedeliste"/>
        <w:spacing w:after="0" w:line="240" w:lineRule="auto"/>
        <w:ind w:left="0"/>
        <w:jc w:val="both"/>
        <w:rPr>
          <w:rFonts w:cstheme="minorHAnsi"/>
          <w:sz w:val="28"/>
          <w:szCs w:val="28"/>
        </w:rPr>
      </w:pPr>
    </w:p>
    <w:p w:rsidR="00DC7BCF" w:rsidRDefault="00F37E27" w:rsidP="00DC7BCF">
      <w:pPr>
        <w:pStyle w:val="Paragraphedeliste"/>
        <w:spacing w:after="0" w:line="240" w:lineRule="auto"/>
        <w:ind w:left="0"/>
        <w:jc w:val="both"/>
        <w:rPr>
          <w:rFonts w:cstheme="minorHAnsi"/>
          <w:sz w:val="28"/>
          <w:szCs w:val="28"/>
        </w:rPr>
      </w:pPr>
      <w:r>
        <w:rPr>
          <w:rFonts w:cstheme="minorHAnsi"/>
          <w:sz w:val="28"/>
          <w:szCs w:val="28"/>
        </w:rPr>
        <w:t>La surdicécité concerne environ 6500 personnes en France</w:t>
      </w:r>
      <w:r w:rsidR="00DC7BCF">
        <w:rPr>
          <w:rFonts w:cstheme="minorHAnsi"/>
          <w:sz w:val="28"/>
          <w:szCs w:val="28"/>
        </w:rPr>
        <w:t xml:space="preserve">. C’est </w:t>
      </w:r>
      <w:r w:rsidR="00DC7BCF" w:rsidRPr="00DC7BCF">
        <w:rPr>
          <w:rFonts w:cstheme="minorHAnsi"/>
          <w:sz w:val="28"/>
          <w:szCs w:val="28"/>
        </w:rPr>
        <w:t xml:space="preserve">un handicap rare caractérisé par la combinaison d’une déficience visuelle et d’une déficience auditive. Cette double déficience affecte la vie sociale, la communication, l’accès à l’information, les capacités d’orientation et la mobilité. Elle complique également l’accès aux dispositifs de soutien et d’accompagnement. </w:t>
      </w:r>
    </w:p>
    <w:p w:rsidR="00DC7BCF" w:rsidRDefault="00DC7BCF" w:rsidP="00DC7BCF">
      <w:pPr>
        <w:pStyle w:val="Paragraphedeliste"/>
        <w:spacing w:after="0" w:line="240" w:lineRule="auto"/>
        <w:ind w:left="0"/>
        <w:jc w:val="both"/>
        <w:rPr>
          <w:rFonts w:cstheme="minorHAnsi"/>
          <w:sz w:val="28"/>
          <w:szCs w:val="28"/>
        </w:rPr>
      </w:pPr>
    </w:p>
    <w:p w:rsidR="00DC7BCF" w:rsidRDefault="00DC7BCF" w:rsidP="00DC7BCF">
      <w:pPr>
        <w:pStyle w:val="Paragraphedeliste"/>
        <w:spacing w:after="0" w:line="240" w:lineRule="auto"/>
        <w:ind w:left="0"/>
        <w:jc w:val="both"/>
        <w:rPr>
          <w:rFonts w:cstheme="minorHAnsi"/>
          <w:sz w:val="28"/>
          <w:szCs w:val="28"/>
        </w:rPr>
      </w:pPr>
      <w:r>
        <w:rPr>
          <w:rFonts w:cstheme="minorHAnsi"/>
          <w:sz w:val="28"/>
          <w:szCs w:val="28"/>
        </w:rPr>
        <w:t xml:space="preserve">Ces personnes ne pouvaient pas toujours accéder aux forfaits d’aide humaine pour la cécité ou la surdité </w:t>
      </w:r>
      <w:r w:rsidR="002A68C2">
        <w:rPr>
          <w:rFonts w:cstheme="minorHAnsi"/>
          <w:sz w:val="28"/>
          <w:szCs w:val="28"/>
        </w:rPr>
        <w:t xml:space="preserve">existants </w:t>
      </w:r>
      <w:r>
        <w:rPr>
          <w:rFonts w:cstheme="minorHAnsi"/>
          <w:sz w:val="28"/>
          <w:szCs w:val="28"/>
        </w:rPr>
        <w:t xml:space="preserve">dans le cadre de la prestation de compensation du handicap (PCH) et surtout n’avait pas la possibilité de les cumuler. </w:t>
      </w:r>
    </w:p>
    <w:p w:rsidR="002F5E5C" w:rsidRDefault="002F5E5C" w:rsidP="006E2B6C">
      <w:pPr>
        <w:pStyle w:val="Paragraphedeliste"/>
        <w:spacing w:after="0" w:line="240" w:lineRule="auto"/>
        <w:ind w:left="0"/>
        <w:jc w:val="both"/>
        <w:rPr>
          <w:rFonts w:cstheme="minorHAnsi"/>
          <w:sz w:val="28"/>
          <w:szCs w:val="28"/>
        </w:rPr>
      </w:pPr>
    </w:p>
    <w:p w:rsidR="00F37E27" w:rsidRDefault="002F5E5C" w:rsidP="006E2B6C">
      <w:pPr>
        <w:pStyle w:val="Paragraphedeliste"/>
        <w:spacing w:after="0" w:line="240" w:lineRule="auto"/>
        <w:ind w:left="0"/>
        <w:jc w:val="both"/>
        <w:rPr>
          <w:rFonts w:cstheme="minorHAnsi"/>
          <w:sz w:val="28"/>
          <w:szCs w:val="28"/>
        </w:rPr>
      </w:pPr>
      <w:r>
        <w:rPr>
          <w:rFonts w:cstheme="minorHAnsi"/>
          <w:sz w:val="28"/>
          <w:szCs w:val="28"/>
        </w:rPr>
        <w:t xml:space="preserve">Le décret du 19 avril 2022 prévoit la création d’un nouveau forfait d’aide humaine destiné </w:t>
      </w:r>
      <w:r w:rsidR="00DC7BCF">
        <w:rPr>
          <w:rFonts w:cstheme="minorHAnsi"/>
          <w:sz w:val="28"/>
          <w:szCs w:val="28"/>
        </w:rPr>
        <w:t xml:space="preserve">spécifiquement </w:t>
      </w:r>
      <w:r>
        <w:rPr>
          <w:rFonts w:cstheme="minorHAnsi"/>
          <w:sz w:val="28"/>
          <w:szCs w:val="28"/>
        </w:rPr>
        <w:t>aux personnes sourdaveugles avec 3 niveaux d’accompagnement de 30, 50 et 80 heures par mois attribués par les maisons départemen</w:t>
      </w:r>
      <w:r w:rsidR="00DC7BCF">
        <w:rPr>
          <w:rFonts w:cstheme="minorHAnsi"/>
          <w:sz w:val="28"/>
          <w:szCs w:val="28"/>
        </w:rPr>
        <w:t xml:space="preserve">tales des personnes handicapées. </w:t>
      </w:r>
    </w:p>
    <w:p w:rsidR="00DC7BCF" w:rsidRDefault="00DC7BCF" w:rsidP="006E2B6C">
      <w:pPr>
        <w:pStyle w:val="Paragraphedeliste"/>
        <w:spacing w:after="0" w:line="240" w:lineRule="auto"/>
        <w:ind w:left="0"/>
        <w:jc w:val="both"/>
        <w:rPr>
          <w:rFonts w:cstheme="minorHAnsi"/>
          <w:sz w:val="28"/>
          <w:szCs w:val="28"/>
        </w:rPr>
      </w:pPr>
    </w:p>
    <w:p w:rsidR="000B35EA" w:rsidRDefault="000B35EA" w:rsidP="006E2B6C">
      <w:pPr>
        <w:pStyle w:val="Paragraphedeliste"/>
        <w:spacing w:after="0" w:line="240" w:lineRule="auto"/>
        <w:ind w:left="0"/>
        <w:jc w:val="both"/>
        <w:rPr>
          <w:rFonts w:cstheme="minorHAnsi"/>
          <w:sz w:val="28"/>
          <w:szCs w:val="28"/>
        </w:rPr>
      </w:pPr>
    </w:p>
    <w:p w:rsidR="00DC7BCF" w:rsidRPr="007E7560" w:rsidRDefault="00DC7BCF" w:rsidP="006E2B6C">
      <w:pPr>
        <w:pStyle w:val="Paragraphedeliste"/>
        <w:spacing w:after="0" w:line="240" w:lineRule="auto"/>
        <w:ind w:left="0"/>
        <w:jc w:val="both"/>
        <w:rPr>
          <w:rFonts w:cstheme="minorHAnsi"/>
          <w:sz w:val="28"/>
          <w:szCs w:val="28"/>
        </w:rPr>
      </w:pPr>
      <w:r w:rsidRPr="007E7560">
        <w:rPr>
          <w:rFonts w:cstheme="minorHAnsi"/>
          <w:sz w:val="28"/>
          <w:szCs w:val="28"/>
        </w:rPr>
        <w:t xml:space="preserve">Les travaux sur la surdicécité se poursuivront dans le cadre d’un groupe de travail piloté par le CNCPH et les associations représentatives pour améliorer la vie des personnes sourdaveugles et former les professionnels à l’accompagnement de ce handicap avec l’appui de la CNSA. </w:t>
      </w:r>
    </w:p>
    <w:p w:rsidR="00DD1162" w:rsidRDefault="00DD1162" w:rsidP="00090B29">
      <w:pPr>
        <w:pStyle w:val="Default"/>
        <w:jc w:val="both"/>
        <w:rPr>
          <w:rFonts w:asciiTheme="minorHAnsi" w:hAnsiTheme="minorHAnsi" w:cstheme="minorHAnsi"/>
          <w:sz w:val="28"/>
          <w:szCs w:val="28"/>
        </w:rPr>
      </w:pPr>
    </w:p>
    <w:p w:rsidR="000B35EA" w:rsidRDefault="000B35EA" w:rsidP="00090B29">
      <w:pPr>
        <w:pStyle w:val="Default"/>
        <w:jc w:val="both"/>
        <w:rPr>
          <w:rFonts w:asciiTheme="minorHAnsi" w:hAnsiTheme="minorHAnsi" w:cstheme="minorHAnsi"/>
          <w:sz w:val="28"/>
          <w:szCs w:val="28"/>
        </w:rPr>
      </w:pPr>
    </w:p>
    <w:p w:rsidR="000B35EA" w:rsidRPr="000B35EA" w:rsidRDefault="000B35EA" w:rsidP="000B35EA">
      <w:pPr>
        <w:spacing w:after="0" w:line="276" w:lineRule="auto"/>
        <w:jc w:val="center"/>
        <w:rPr>
          <w:rFonts w:ascii="Arial" w:hAnsi="Arial" w:cs="Arial"/>
          <w:b/>
          <w:bCs/>
          <w:sz w:val="24"/>
          <w:szCs w:val="24"/>
        </w:rPr>
      </w:pPr>
      <w:r w:rsidRPr="000B35EA">
        <w:rPr>
          <w:rFonts w:ascii="Arial" w:hAnsi="Arial" w:cs="Arial"/>
          <w:b/>
          <w:bCs/>
          <w:sz w:val="24"/>
          <w:szCs w:val="24"/>
          <w:u w:val="single"/>
        </w:rPr>
        <w:t xml:space="preserve">Contact presse : </w:t>
      </w:r>
    </w:p>
    <w:p w:rsidR="000B35EA" w:rsidRPr="000B35EA" w:rsidRDefault="000B35EA" w:rsidP="000B35EA">
      <w:pPr>
        <w:spacing w:after="0" w:line="276" w:lineRule="auto"/>
        <w:jc w:val="center"/>
        <w:rPr>
          <w:rFonts w:ascii="Arial" w:hAnsi="Arial" w:cs="Arial"/>
          <w:b/>
          <w:bCs/>
          <w:sz w:val="24"/>
          <w:szCs w:val="24"/>
        </w:rPr>
      </w:pPr>
    </w:p>
    <w:p w:rsidR="000B35EA" w:rsidRPr="000B35EA" w:rsidRDefault="000B35EA" w:rsidP="000B35EA">
      <w:pPr>
        <w:spacing w:line="276" w:lineRule="auto"/>
        <w:jc w:val="center"/>
        <w:rPr>
          <w:rFonts w:ascii="Arial" w:hAnsi="Arial" w:cs="Arial"/>
          <w:b/>
          <w:bCs/>
          <w:sz w:val="24"/>
          <w:szCs w:val="24"/>
        </w:rPr>
      </w:pPr>
      <w:r w:rsidRPr="000B35EA">
        <w:rPr>
          <w:rFonts w:ascii="Arial" w:hAnsi="Arial" w:cs="Arial"/>
          <w:b/>
          <w:bCs/>
          <w:sz w:val="24"/>
          <w:szCs w:val="24"/>
        </w:rPr>
        <w:t>Secrétariat d’Etat chargé des Personnes handicapées</w:t>
      </w:r>
    </w:p>
    <w:p w:rsidR="000B35EA" w:rsidRPr="000B35EA" w:rsidRDefault="000B35EA" w:rsidP="000B35EA">
      <w:pPr>
        <w:spacing w:after="0" w:line="276" w:lineRule="auto"/>
        <w:jc w:val="center"/>
        <w:rPr>
          <w:rFonts w:ascii="Arial" w:hAnsi="Arial" w:cs="Arial"/>
          <w:b/>
          <w:bCs/>
          <w:sz w:val="24"/>
          <w:szCs w:val="24"/>
          <w:u w:val="single"/>
        </w:rPr>
      </w:pPr>
      <w:hyperlink r:id="rId7" w:history="1">
        <w:r w:rsidRPr="000B35EA">
          <w:rPr>
            <w:rStyle w:val="Lienhypertexte"/>
            <w:rFonts w:ascii="Arial" w:hAnsi="Arial" w:cs="Arial"/>
            <w:b/>
            <w:bCs/>
            <w:sz w:val="24"/>
            <w:szCs w:val="24"/>
          </w:rPr>
          <w:t>seph.communication@pm.gouv.fr</w:t>
        </w:r>
      </w:hyperlink>
    </w:p>
    <w:p w:rsidR="006E2B6C" w:rsidRDefault="006E2B6C" w:rsidP="00076D5A">
      <w:pPr>
        <w:pStyle w:val="Default"/>
        <w:jc w:val="both"/>
        <w:rPr>
          <w:rFonts w:asciiTheme="minorHAnsi" w:hAnsiTheme="minorHAnsi" w:cstheme="minorHAnsi"/>
          <w:sz w:val="28"/>
          <w:szCs w:val="28"/>
        </w:rPr>
      </w:pPr>
    </w:p>
    <w:p w:rsidR="00D70DB7" w:rsidRDefault="00D70DB7" w:rsidP="00505E34">
      <w:pPr>
        <w:pStyle w:val="Default"/>
        <w:jc w:val="both"/>
        <w:rPr>
          <w:rFonts w:asciiTheme="minorHAnsi" w:hAnsiTheme="minorHAnsi" w:cstheme="minorHAnsi"/>
          <w:sz w:val="28"/>
          <w:szCs w:val="28"/>
        </w:rPr>
      </w:pPr>
    </w:p>
    <w:sectPr w:rsidR="00D70DB7" w:rsidSect="000B35EA">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407B3"/>
    <w:multiLevelType w:val="hybridMultilevel"/>
    <w:tmpl w:val="A2229138"/>
    <w:lvl w:ilvl="0" w:tplc="0B921A56">
      <w:start w:val="1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FF182D"/>
    <w:multiLevelType w:val="hybridMultilevel"/>
    <w:tmpl w:val="CBBC8008"/>
    <w:lvl w:ilvl="0" w:tplc="6B46BA90">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F492E34"/>
    <w:multiLevelType w:val="hybridMultilevel"/>
    <w:tmpl w:val="39B685DE"/>
    <w:lvl w:ilvl="0" w:tplc="74FC742C">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5F65DB5"/>
    <w:multiLevelType w:val="hybridMultilevel"/>
    <w:tmpl w:val="27C065E2"/>
    <w:lvl w:ilvl="0" w:tplc="E564B02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AD41AC2"/>
    <w:multiLevelType w:val="hybridMultilevel"/>
    <w:tmpl w:val="082E0A0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1D25D59"/>
    <w:multiLevelType w:val="hybridMultilevel"/>
    <w:tmpl w:val="7522F2B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31E2B11"/>
    <w:multiLevelType w:val="hybridMultilevel"/>
    <w:tmpl w:val="D7100978"/>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535652FD"/>
    <w:multiLevelType w:val="hybridMultilevel"/>
    <w:tmpl w:val="F91AE79C"/>
    <w:lvl w:ilvl="0" w:tplc="7916C19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70595A72"/>
    <w:multiLevelType w:val="hybridMultilevel"/>
    <w:tmpl w:val="A9D84FE6"/>
    <w:lvl w:ilvl="0" w:tplc="E564B02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8"/>
  </w:num>
  <w:num w:numId="5">
    <w:abstractNumId w:val="1"/>
  </w:num>
  <w:num w:numId="6">
    <w:abstractNumId w:val="0"/>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2CE"/>
    <w:rsid w:val="00066AF6"/>
    <w:rsid w:val="00076D5A"/>
    <w:rsid w:val="00090B29"/>
    <w:rsid w:val="000A71A3"/>
    <w:rsid w:val="000B35EA"/>
    <w:rsid w:val="000D62BE"/>
    <w:rsid w:val="000E25FC"/>
    <w:rsid w:val="000F3B22"/>
    <w:rsid w:val="00233DC7"/>
    <w:rsid w:val="00254229"/>
    <w:rsid w:val="002A68C2"/>
    <w:rsid w:val="002A75AD"/>
    <w:rsid w:val="002F1997"/>
    <w:rsid w:val="002F5E5C"/>
    <w:rsid w:val="003A72CE"/>
    <w:rsid w:val="003E51E8"/>
    <w:rsid w:val="004342E9"/>
    <w:rsid w:val="00456F37"/>
    <w:rsid w:val="0048046A"/>
    <w:rsid w:val="00505E34"/>
    <w:rsid w:val="005137E2"/>
    <w:rsid w:val="00537B1F"/>
    <w:rsid w:val="00557BCA"/>
    <w:rsid w:val="005A2AF3"/>
    <w:rsid w:val="005C5C00"/>
    <w:rsid w:val="006343B0"/>
    <w:rsid w:val="006E2B6C"/>
    <w:rsid w:val="006F5699"/>
    <w:rsid w:val="00713B24"/>
    <w:rsid w:val="00776B3E"/>
    <w:rsid w:val="007E7560"/>
    <w:rsid w:val="008C7B54"/>
    <w:rsid w:val="008D29D7"/>
    <w:rsid w:val="00976DEB"/>
    <w:rsid w:val="009F1903"/>
    <w:rsid w:val="009F778D"/>
    <w:rsid w:val="00A21043"/>
    <w:rsid w:val="00BF7614"/>
    <w:rsid w:val="00C452DF"/>
    <w:rsid w:val="00C513C7"/>
    <w:rsid w:val="00C6195F"/>
    <w:rsid w:val="00CD6E3A"/>
    <w:rsid w:val="00CF6BBD"/>
    <w:rsid w:val="00D505D9"/>
    <w:rsid w:val="00D54067"/>
    <w:rsid w:val="00D70DB7"/>
    <w:rsid w:val="00DC7BCF"/>
    <w:rsid w:val="00DD1162"/>
    <w:rsid w:val="00E1421F"/>
    <w:rsid w:val="00E167D4"/>
    <w:rsid w:val="00EE0B2C"/>
    <w:rsid w:val="00F0737C"/>
    <w:rsid w:val="00F37E27"/>
    <w:rsid w:val="00F839C7"/>
    <w:rsid w:val="00FD0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F97BF"/>
  <w15:chartTrackingRefBased/>
  <w15:docId w15:val="{F24C305C-5104-4D16-9AF8-7713411B9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A72CE"/>
    <w:pPr>
      <w:ind w:left="720"/>
      <w:contextualSpacing/>
    </w:pPr>
  </w:style>
  <w:style w:type="paragraph" w:customStyle="1" w:styleId="Default">
    <w:name w:val="Default"/>
    <w:rsid w:val="005137E2"/>
    <w:pPr>
      <w:autoSpaceDE w:val="0"/>
      <w:autoSpaceDN w:val="0"/>
      <w:adjustRightInd w:val="0"/>
      <w:spacing w:after="0" w:line="240" w:lineRule="auto"/>
    </w:pPr>
    <w:rPr>
      <w:rFonts w:ascii="Arial" w:hAnsi="Arial" w:cs="Arial"/>
      <w:color w:val="000000"/>
      <w:sz w:val="24"/>
      <w:szCs w:val="24"/>
    </w:rPr>
  </w:style>
  <w:style w:type="paragraph" w:customStyle="1" w:styleId="SNAutorit">
    <w:name w:val="SNAutorité"/>
    <w:basedOn w:val="Normal"/>
    <w:autoRedefine/>
    <w:rsid w:val="00D70DB7"/>
    <w:pPr>
      <w:spacing w:after="0" w:line="240" w:lineRule="auto"/>
      <w:jc w:val="center"/>
    </w:pPr>
    <w:rPr>
      <w:rFonts w:ascii="Times New Roman" w:eastAsia="Times New Roman" w:hAnsi="Times New Roman" w:cs="Times New Roman"/>
      <w:b/>
      <w:sz w:val="24"/>
      <w:szCs w:val="24"/>
      <w:lang w:eastAsia="fr-FR"/>
    </w:rPr>
  </w:style>
  <w:style w:type="paragraph" w:styleId="Textedebulles">
    <w:name w:val="Balloon Text"/>
    <w:basedOn w:val="Normal"/>
    <w:link w:val="TextedebullesCar"/>
    <w:uiPriority w:val="99"/>
    <w:semiHidden/>
    <w:unhideWhenUsed/>
    <w:rsid w:val="00F839C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839C7"/>
    <w:rPr>
      <w:rFonts w:ascii="Segoe UI" w:hAnsi="Segoe UI" w:cs="Segoe UI"/>
      <w:sz w:val="18"/>
      <w:szCs w:val="18"/>
    </w:rPr>
  </w:style>
  <w:style w:type="character" w:styleId="Lienhypertexte">
    <w:name w:val="Hyperlink"/>
    <w:basedOn w:val="Policepardfaut"/>
    <w:uiPriority w:val="99"/>
    <w:semiHidden/>
    <w:unhideWhenUsed/>
    <w:rsid w:val="000B35E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90748">
      <w:bodyDiv w:val="1"/>
      <w:marLeft w:val="0"/>
      <w:marRight w:val="0"/>
      <w:marTop w:val="0"/>
      <w:marBottom w:val="0"/>
      <w:divBdr>
        <w:top w:val="none" w:sz="0" w:space="0" w:color="auto"/>
        <w:left w:val="none" w:sz="0" w:space="0" w:color="auto"/>
        <w:bottom w:val="none" w:sz="0" w:space="0" w:color="auto"/>
        <w:right w:val="none" w:sz="0" w:space="0" w:color="auto"/>
      </w:divBdr>
    </w:div>
    <w:div w:id="180946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eph.communication@pm.gouv.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59C7D-04F8-4BE5-BB1B-CBFEE2A09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1500</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BAYON Maelig</dc:creator>
  <cp:keywords/>
  <dc:description/>
  <cp:lastModifiedBy>MALEZIEUX Paul-emile</cp:lastModifiedBy>
  <cp:revision>2</cp:revision>
  <dcterms:created xsi:type="dcterms:W3CDTF">2022-04-20T16:09:00Z</dcterms:created>
  <dcterms:modified xsi:type="dcterms:W3CDTF">2022-04-20T16:09:00Z</dcterms:modified>
</cp:coreProperties>
</file>